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3297" w:rsidRPr="009C31EA" w:rsidRDefault="009F3297" w:rsidP="009C31EA">
      <w:pPr>
        <w:jc w:val="center"/>
        <w:rPr>
          <w:rFonts w:ascii="Times New Roman" w:hAnsi="Times New Roman" w:cs="Times New Roman"/>
          <w:sz w:val="24"/>
          <w:szCs w:val="24"/>
        </w:rPr>
      </w:pPr>
    </w:p>
    <w:p w:rsidR="009F3297" w:rsidRPr="009C31EA" w:rsidRDefault="009F3297" w:rsidP="009C31EA">
      <w:pPr>
        <w:jc w:val="center"/>
        <w:rPr>
          <w:rFonts w:ascii="Times New Roman" w:hAnsi="Times New Roman" w:cs="Times New Roman"/>
          <w:sz w:val="24"/>
          <w:szCs w:val="24"/>
        </w:rPr>
      </w:pPr>
    </w:p>
    <w:p w:rsidR="009F3297" w:rsidRPr="009C31EA" w:rsidRDefault="009F3297" w:rsidP="009C31EA">
      <w:pPr>
        <w:jc w:val="center"/>
        <w:rPr>
          <w:rFonts w:ascii="Times New Roman" w:hAnsi="Times New Roman" w:cs="Times New Roman"/>
          <w:sz w:val="24"/>
          <w:szCs w:val="24"/>
        </w:rPr>
      </w:pPr>
    </w:p>
    <w:p w:rsidR="009F3297" w:rsidRPr="009C31EA" w:rsidRDefault="009F3297" w:rsidP="009C31EA">
      <w:pPr>
        <w:jc w:val="center"/>
        <w:rPr>
          <w:rFonts w:ascii="Times New Roman" w:hAnsi="Times New Roman" w:cs="Times New Roman"/>
          <w:sz w:val="24"/>
          <w:szCs w:val="24"/>
        </w:rPr>
      </w:pPr>
    </w:p>
    <w:p w:rsidR="009F3297" w:rsidRPr="009C31EA" w:rsidRDefault="009F3297" w:rsidP="009C31EA">
      <w:pPr>
        <w:jc w:val="center"/>
        <w:rPr>
          <w:rFonts w:ascii="Times New Roman" w:hAnsi="Times New Roman" w:cs="Times New Roman"/>
          <w:sz w:val="24"/>
          <w:szCs w:val="24"/>
        </w:rPr>
      </w:pPr>
    </w:p>
    <w:p w:rsidR="009F3297" w:rsidRPr="009C31EA" w:rsidRDefault="00073727" w:rsidP="009C31EA">
      <w:pPr>
        <w:jc w:val="center"/>
        <w:rPr>
          <w:rFonts w:ascii="Times New Roman" w:hAnsi="Times New Roman" w:cs="Times New Roman"/>
          <w:sz w:val="24"/>
          <w:szCs w:val="24"/>
        </w:rPr>
      </w:pPr>
      <w:r w:rsidRPr="009C31EA">
        <w:rPr>
          <w:rFonts w:ascii="Times New Roman" w:hAnsi="Times New Roman" w:cs="Times New Roman"/>
          <w:sz w:val="24"/>
          <w:szCs w:val="24"/>
        </w:rPr>
        <w:t xml:space="preserve">A Case for Inclusion: </w:t>
      </w:r>
      <w:r w:rsidR="00903E18" w:rsidRPr="009C31EA">
        <w:rPr>
          <w:rFonts w:ascii="Times New Roman" w:hAnsi="Times New Roman" w:cs="Times New Roman"/>
          <w:sz w:val="24"/>
          <w:szCs w:val="24"/>
        </w:rPr>
        <w:t>Comparison between Mississippi and California</w:t>
      </w:r>
    </w:p>
    <w:p w:rsidR="009F3297" w:rsidRPr="009C31EA" w:rsidRDefault="00903E18" w:rsidP="009C31EA">
      <w:pPr>
        <w:jc w:val="center"/>
        <w:rPr>
          <w:rFonts w:ascii="Times New Roman" w:hAnsi="Times New Roman" w:cs="Times New Roman"/>
          <w:sz w:val="24"/>
          <w:szCs w:val="24"/>
        </w:rPr>
      </w:pPr>
      <w:r w:rsidRPr="009C31EA">
        <w:rPr>
          <w:rFonts w:ascii="Times New Roman" w:hAnsi="Times New Roman" w:cs="Times New Roman"/>
          <w:sz w:val="24"/>
          <w:szCs w:val="24"/>
        </w:rPr>
        <w:t>Student’s Name</w:t>
      </w:r>
    </w:p>
    <w:p w:rsidR="009F3297" w:rsidRPr="009C31EA" w:rsidRDefault="00903E18" w:rsidP="009C31EA">
      <w:pPr>
        <w:jc w:val="center"/>
        <w:rPr>
          <w:rFonts w:ascii="Times New Roman" w:hAnsi="Times New Roman" w:cs="Times New Roman"/>
          <w:sz w:val="24"/>
          <w:szCs w:val="24"/>
        </w:rPr>
      </w:pPr>
      <w:r w:rsidRPr="009C31EA">
        <w:rPr>
          <w:rFonts w:ascii="Times New Roman" w:hAnsi="Times New Roman" w:cs="Times New Roman"/>
          <w:sz w:val="24"/>
          <w:szCs w:val="24"/>
        </w:rPr>
        <w:t>Institutional Affiliation</w:t>
      </w:r>
      <w:r w:rsidRPr="009C31EA">
        <w:rPr>
          <w:rFonts w:ascii="Times New Roman" w:hAnsi="Times New Roman" w:cs="Times New Roman"/>
          <w:sz w:val="24"/>
          <w:szCs w:val="24"/>
        </w:rPr>
        <w:br w:type="page"/>
      </w:r>
    </w:p>
    <w:p w:rsidR="00C36040" w:rsidRPr="009C31EA" w:rsidRDefault="00903E18" w:rsidP="009C31EA">
      <w:pPr>
        <w:ind w:firstLine="0"/>
        <w:jc w:val="center"/>
        <w:rPr>
          <w:rFonts w:ascii="Times New Roman" w:hAnsi="Times New Roman" w:cs="Times New Roman"/>
          <w:sz w:val="24"/>
          <w:szCs w:val="24"/>
        </w:rPr>
      </w:pPr>
      <w:r w:rsidRPr="009C31EA">
        <w:rPr>
          <w:rFonts w:ascii="Times New Roman" w:hAnsi="Times New Roman" w:cs="Times New Roman"/>
          <w:sz w:val="24"/>
          <w:szCs w:val="24"/>
        </w:rPr>
        <w:lastRenderedPageBreak/>
        <w:t xml:space="preserve">A </w:t>
      </w:r>
      <w:r w:rsidR="009F3297" w:rsidRPr="009C31EA">
        <w:rPr>
          <w:rFonts w:ascii="Times New Roman" w:hAnsi="Times New Roman" w:cs="Times New Roman"/>
          <w:sz w:val="24"/>
          <w:szCs w:val="24"/>
        </w:rPr>
        <w:t>Case for Inclusion:  Comparison between Mississippi and California</w:t>
      </w:r>
    </w:p>
    <w:p w:rsidR="00966B25" w:rsidRPr="009C31EA" w:rsidRDefault="00903E18" w:rsidP="009C31EA">
      <w:pPr>
        <w:ind w:firstLine="0"/>
        <w:rPr>
          <w:rFonts w:ascii="Times New Roman" w:hAnsi="Times New Roman" w:cs="Times New Roman"/>
          <w:sz w:val="24"/>
          <w:szCs w:val="24"/>
        </w:rPr>
      </w:pPr>
      <w:r w:rsidRPr="009C31EA">
        <w:rPr>
          <w:rFonts w:ascii="Times New Roman" w:hAnsi="Times New Roman" w:cs="Times New Roman"/>
          <w:sz w:val="24"/>
          <w:szCs w:val="24"/>
        </w:rPr>
        <w:tab/>
      </w:r>
      <w:r w:rsidR="00840CE8" w:rsidRPr="009C31EA">
        <w:rPr>
          <w:rFonts w:ascii="Times New Roman" w:hAnsi="Times New Roman" w:cs="Times New Roman"/>
          <w:sz w:val="24"/>
          <w:szCs w:val="24"/>
        </w:rPr>
        <w:t>United Cerebral Palsy (</w:t>
      </w:r>
      <w:r w:rsidR="00B73F59" w:rsidRPr="009C31EA">
        <w:rPr>
          <w:rFonts w:ascii="Times New Roman" w:hAnsi="Times New Roman" w:cs="Times New Roman"/>
          <w:sz w:val="24"/>
          <w:szCs w:val="24"/>
        </w:rPr>
        <w:t>UCP</w:t>
      </w:r>
      <w:r w:rsidR="00840CE8" w:rsidRPr="009C31EA">
        <w:rPr>
          <w:rFonts w:ascii="Times New Roman" w:hAnsi="Times New Roman" w:cs="Times New Roman"/>
          <w:sz w:val="24"/>
          <w:szCs w:val="24"/>
        </w:rPr>
        <w:t>)</w:t>
      </w:r>
      <w:r w:rsidR="00B73F59" w:rsidRPr="009C31EA">
        <w:rPr>
          <w:rFonts w:ascii="Times New Roman" w:hAnsi="Times New Roman" w:cs="Times New Roman"/>
          <w:sz w:val="24"/>
          <w:szCs w:val="24"/>
        </w:rPr>
        <w:t xml:space="preserve"> provides of 50 states and also the District of Columbia based on the outcome o</w:t>
      </w:r>
      <w:r w:rsidR="00172E0F" w:rsidRPr="009C31EA">
        <w:rPr>
          <w:rFonts w:ascii="Times New Roman" w:hAnsi="Times New Roman" w:cs="Times New Roman"/>
          <w:sz w:val="24"/>
          <w:szCs w:val="24"/>
        </w:rPr>
        <w:t>f services delivered to America</w:t>
      </w:r>
      <w:r w:rsidR="00B73F59" w:rsidRPr="009C31EA">
        <w:rPr>
          <w:rFonts w:ascii="Times New Roman" w:hAnsi="Times New Roman" w:cs="Times New Roman"/>
          <w:sz w:val="24"/>
          <w:szCs w:val="24"/>
        </w:rPr>
        <w:t xml:space="preserve"> who are suffering from intellectual disabilities as well as developmental disabilities. The UCP has been</w:t>
      </w:r>
      <w:r w:rsidR="00CC109B" w:rsidRPr="009C31EA">
        <w:rPr>
          <w:rFonts w:ascii="Times New Roman" w:hAnsi="Times New Roman" w:cs="Times New Roman"/>
          <w:sz w:val="24"/>
          <w:szCs w:val="24"/>
        </w:rPr>
        <w:t xml:space="preserve"> continuously</w:t>
      </w:r>
      <w:r w:rsidR="00B73F59" w:rsidRPr="009C31EA">
        <w:rPr>
          <w:rFonts w:ascii="Times New Roman" w:hAnsi="Times New Roman" w:cs="Times New Roman"/>
          <w:sz w:val="24"/>
          <w:szCs w:val="24"/>
        </w:rPr>
        <w:t xml:space="preserve"> releasing this ranks </w:t>
      </w:r>
      <w:r w:rsidR="00CC109B" w:rsidRPr="009C31EA">
        <w:rPr>
          <w:rFonts w:ascii="Times New Roman" w:hAnsi="Times New Roman" w:cs="Times New Roman"/>
          <w:sz w:val="24"/>
          <w:szCs w:val="24"/>
        </w:rPr>
        <w:t>annually since 2006. Th</w:t>
      </w:r>
      <w:r w:rsidR="00896C3F" w:rsidRPr="009C31EA">
        <w:rPr>
          <w:rFonts w:ascii="Times New Roman" w:hAnsi="Times New Roman" w:cs="Times New Roman"/>
          <w:sz w:val="24"/>
          <w:szCs w:val="24"/>
        </w:rPr>
        <w:t>is pape</w:t>
      </w:r>
      <w:r w:rsidR="003D25C4" w:rsidRPr="009C31EA">
        <w:rPr>
          <w:rFonts w:ascii="Times New Roman" w:hAnsi="Times New Roman" w:cs="Times New Roman"/>
          <w:sz w:val="24"/>
          <w:szCs w:val="24"/>
        </w:rPr>
        <w:t xml:space="preserve">r will provide an analysis of the number of people with disabilities in the states of </w:t>
      </w:r>
      <w:r w:rsidR="00840CE8" w:rsidRPr="009C31EA">
        <w:rPr>
          <w:rFonts w:ascii="Times New Roman" w:hAnsi="Times New Roman" w:cs="Times New Roman"/>
          <w:sz w:val="24"/>
          <w:szCs w:val="24"/>
        </w:rPr>
        <w:t xml:space="preserve">California </w:t>
      </w:r>
      <w:r w:rsidR="003D25C4" w:rsidRPr="009C31EA">
        <w:rPr>
          <w:rFonts w:ascii="Times New Roman" w:hAnsi="Times New Roman" w:cs="Times New Roman"/>
          <w:sz w:val="24"/>
          <w:szCs w:val="24"/>
        </w:rPr>
        <w:t xml:space="preserve">and </w:t>
      </w:r>
      <w:r w:rsidR="00282AA0" w:rsidRPr="009C31EA">
        <w:rPr>
          <w:rFonts w:ascii="Times New Roman" w:hAnsi="Times New Roman" w:cs="Times New Roman"/>
          <w:sz w:val="24"/>
          <w:szCs w:val="24"/>
        </w:rPr>
        <w:t xml:space="preserve">Mississippi </w:t>
      </w:r>
      <w:r w:rsidR="003D25C4" w:rsidRPr="009C31EA">
        <w:rPr>
          <w:rFonts w:ascii="Times New Roman" w:hAnsi="Times New Roman" w:cs="Times New Roman"/>
          <w:sz w:val="24"/>
          <w:szCs w:val="24"/>
        </w:rPr>
        <w:t xml:space="preserve">who have various disabilities are living in large group-like settings in state institutions. Additionally, the paper will </w:t>
      </w:r>
      <w:r w:rsidR="00282AA0" w:rsidRPr="009C31EA">
        <w:rPr>
          <w:rFonts w:ascii="Times New Roman" w:hAnsi="Times New Roman" w:cs="Times New Roman"/>
          <w:sz w:val="24"/>
          <w:szCs w:val="24"/>
        </w:rPr>
        <w:t xml:space="preserve">graphically </w:t>
      </w:r>
      <w:r w:rsidR="003D25C4" w:rsidRPr="009C31EA">
        <w:rPr>
          <w:rFonts w:ascii="Times New Roman" w:hAnsi="Times New Roman" w:cs="Times New Roman"/>
          <w:sz w:val="24"/>
          <w:szCs w:val="24"/>
        </w:rPr>
        <w:t>analyze the validity and reliability of the data, provide an interpretation of the data</w:t>
      </w:r>
      <w:r w:rsidR="006041AE" w:rsidRPr="009C31EA">
        <w:rPr>
          <w:rFonts w:ascii="Times New Roman" w:hAnsi="Times New Roman" w:cs="Times New Roman"/>
          <w:sz w:val="24"/>
          <w:szCs w:val="24"/>
        </w:rPr>
        <w:t>, pose the question that arose during the analysis of the data</w:t>
      </w:r>
      <w:r w:rsidR="003D25C4" w:rsidRPr="009C31EA">
        <w:rPr>
          <w:rFonts w:ascii="Times New Roman" w:hAnsi="Times New Roman" w:cs="Times New Roman"/>
          <w:sz w:val="24"/>
          <w:szCs w:val="24"/>
        </w:rPr>
        <w:t xml:space="preserve"> and give a conclusion based on the interpretation of the data.</w:t>
      </w:r>
    </w:p>
    <w:p w:rsidR="00825CF9" w:rsidRPr="009C31EA" w:rsidRDefault="00903E18" w:rsidP="009C31EA">
      <w:pPr>
        <w:ind w:firstLine="0"/>
        <w:rPr>
          <w:rFonts w:ascii="Times New Roman" w:hAnsi="Times New Roman" w:cs="Times New Roman"/>
          <w:sz w:val="24"/>
          <w:szCs w:val="24"/>
        </w:rPr>
      </w:pPr>
      <w:r w:rsidRPr="009C31EA">
        <w:rPr>
          <w:rFonts w:ascii="Times New Roman" w:hAnsi="Times New Roman" w:cs="Times New Roman"/>
          <w:sz w:val="24"/>
          <w:szCs w:val="24"/>
        </w:rPr>
        <w:t xml:space="preserve"> The data presented in the UCP is illustrated in two graphs below. These graphs provide the</w:t>
      </w:r>
      <w:r w:rsidR="00172E0F" w:rsidRPr="009C31EA">
        <w:rPr>
          <w:rFonts w:ascii="Times New Roman" w:hAnsi="Times New Roman" w:cs="Times New Roman"/>
          <w:sz w:val="24"/>
          <w:szCs w:val="24"/>
        </w:rPr>
        <w:t xml:space="preserve"> data in easy form that fuels easy </w:t>
      </w:r>
      <w:r w:rsidRPr="009C31EA">
        <w:rPr>
          <w:rFonts w:ascii="Times New Roman" w:hAnsi="Times New Roman" w:cs="Times New Roman"/>
          <w:sz w:val="24"/>
          <w:szCs w:val="24"/>
        </w:rPr>
        <w:t>understand</w:t>
      </w:r>
      <w:r w:rsidR="00172E0F" w:rsidRPr="009C31EA">
        <w:rPr>
          <w:rFonts w:ascii="Times New Roman" w:hAnsi="Times New Roman" w:cs="Times New Roman"/>
          <w:sz w:val="24"/>
          <w:szCs w:val="24"/>
        </w:rPr>
        <w:t>ing</w:t>
      </w:r>
      <w:r w:rsidRPr="009C31EA">
        <w:rPr>
          <w:rFonts w:ascii="Times New Roman" w:hAnsi="Times New Roman" w:cs="Times New Roman"/>
          <w:sz w:val="24"/>
          <w:szCs w:val="24"/>
        </w:rPr>
        <w:t xml:space="preserve"> and interpret</w:t>
      </w:r>
      <w:r w:rsidR="00172E0F" w:rsidRPr="009C31EA">
        <w:rPr>
          <w:rFonts w:ascii="Times New Roman" w:hAnsi="Times New Roman" w:cs="Times New Roman"/>
          <w:sz w:val="24"/>
          <w:szCs w:val="24"/>
        </w:rPr>
        <w:t>ing</w:t>
      </w:r>
      <w:r w:rsidRPr="009C31EA">
        <w:rPr>
          <w:rFonts w:ascii="Times New Roman" w:hAnsi="Times New Roman" w:cs="Times New Roman"/>
          <w:sz w:val="24"/>
          <w:szCs w:val="24"/>
        </w:rPr>
        <w:t xml:space="preserve">; </w:t>
      </w:r>
    </w:p>
    <w:p w:rsidR="00825CF9" w:rsidRPr="009C31EA" w:rsidRDefault="00903E18" w:rsidP="009C31EA">
      <w:pPr>
        <w:ind w:firstLine="0"/>
        <w:rPr>
          <w:rFonts w:ascii="Times New Roman" w:hAnsi="Times New Roman" w:cs="Times New Roman"/>
          <w:sz w:val="24"/>
          <w:szCs w:val="24"/>
        </w:rPr>
      </w:pPr>
      <w:bookmarkStart w:id="0" w:name="_GoBack"/>
      <w:r w:rsidRPr="009C31EA">
        <w:rPr>
          <w:rFonts w:ascii="Times New Roman" w:hAnsi="Times New Roman" w:cs="Times New Roman"/>
          <w:noProof/>
          <w:sz w:val="24"/>
          <w:szCs w:val="24"/>
        </w:rPr>
        <w:drawing>
          <wp:inline distT="0" distB="0" distL="0" distR="0">
            <wp:extent cx="5429250" cy="3943350"/>
            <wp:effectExtent l="19050" t="0" r="1905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bookmarkEnd w:id="0"/>
    </w:p>
    <w:p w:rsidR="00381EDE" w:rsidRPr="009C31EA" w:rsidRDefault="00903E18" w:rsidP="009C31EA">
      <w:pPr>
        <w:ind w:firstLine="0"/>
        <w:rPr>
          <w:rFonts w:ascii="Times New Roman" w:hAnsi="Times New Roman" w:cs="Times New Roman"/>
          <w:sz w:val="24"/>
          <w:szCs w:val="24"/>
        </w:rPr>
      </w:pPr>
      <w:r w:rsidRPr="009C31EA">
        <w:rPr>
          <w:rFonts w:ascii="Times New Roman" w:hAnsi="Times New Roman" w:cs="Times New Roman"/>
          <w:sz w:val="24"/>
          <w:szCs w:val="24"/>
        </w:rPr>
        <w:lastRenderedPageBreak/>
        <w:tab/>
      </w:r>
      <w:r w:rsidR="004B629B" w:rsidRPr="009C31EA">
        <w:rPr>
          <w:rFonts w:ascii="Times New Roman" w:hAnsi="Times New Roman" w:cs="Times New Roman"/>
          <w:sz w:val="24"/>
          <w:szCs w:val="24"/>
        </w:rPr>
        <w:t xml:space="preserve">In </w:t>
      </w:r>
      <w:r w:rsidRPr="009C31EA">
        <w:rPr>
          <w:rFonts w:ascii="Times New Roman" w:hAnsi="Times New Roman" w:cs="Times New Roman"/>
          <w:sz w:val="24"/>
          <w:szCs w:val="24"/>
        </w:rPr>
        <w:t xml:space="preserve">the </w:t>
      </w:r>
      <w:r w:rsidR="004B629B" w:rsidRPr="009C31EA">
        <w:rPr>
          <w:rFonts w:ascii="Times New Roman" w:hAnsi="Times New Roman" w:cs="Times New Roman"/>
          <w:sz w:val="24"/>
          <w:szCs w:val="24"/>
        </w:rPr>
        <w:t xml:space="preserve">graph </w:t>
      </w:r>
      <w:r w:rsidRPr="009C31EA">
        <w:rPr>
          <w:rFonts w:ascii="Times New Roman" w:hAnsi="Times New Roman" w:cs="Times New Roman"/>
          <w:sz w:val="24"/>
          <w:szCs w:val="24"/>
        </w:rPr>
        <w:t>Mississippi almost the same number of residents</w:t>
      </w:r>
      <w:r w:rsidR="004B629B" w:rsidRPr="009C31EA">
        <w:rPr>
          <w:rFonts w:ascii="Times New Roman" w:hAnsi="Times New Roman" w:cs="Times New Roman"/>
          <w:sz w:val="24"/>
          <w:szCs w:val="24"/>
        </w:rPr>
        <w:t xml:space="preserve"> in large state institutions of </w:t>
      </w:r>
      <w:r w:rsidRPr="009C31EA">
        <w:rPr>
          <w:rFonts w:ascii="Times New Roman" w:hAnsi="Times New Roman" w:cs="Times New Roman"/>
          <w:sz w:val="24"/>
          <w:szCs w:val="24"/>
        </w:rPr>
        <w:t>care and service provision with California</w:t>
      </w:r>
      <w:r w:rsidR="004B629B" w:rsidRPr="009C31EA">
        <w:rPr>
          <w:rFonts w:ascii="Times New Roman" w:hAnsi="Times New Roman" w:cs="Times New Roman"/>
          <w:sz w:val="24"/>
          <w:szCs w:val="24"/>
        </w:rPr>
        <w:t>. However</w:t>
      </w:r>
      <w:r w:rsidR="00172E0F" w:rsidRPr="009C31EA">
        <w:rPr>
          <w:rFonts w:ascii="Times New Roman" w:hAnsi="Times New Roman" w:cs="Times New Roman"/>
          <w:sz w:val="24"/>
          <w:szCs w:val="24"/>
        </w:rPr>
        <w:t>,</w:t>
      </w:r>
      <w:r w:rsidR="004B629B" w:rsidRPr="009C31EA">
        <w:rPr>
          <w:rFonts w:ascii="Times New Roman" w:hAnsi="Times New Roman" w:cs="Times New Roman"/>
          <w:sz w:val="24"/>
          <w:szCs w:val="24"/>
        </w:rPr>
        <w:t xml:space="preserve"> as it </w:t>
      </w:r>
      <w:r w:rsidRPr="009C31EA">
        <w:rPr>
          <w:rFonts w:ascii="Times New Roman" w:hAnsi="Times New Roman" w:cs="Times New Roman"/>
          <w:sz w:val="24"/>
          <w:szCs w:val="24"/>
        </w:rPr>
        <w:t>can be seen in the first</w:t>
      </w:r>
      <w:r w:rsidR="004B629B" w:rsidRPr="009C31EA">
        <w:rPr>
          <w:rFonts w:ascii="Times New Roman" w:hAnsi="Times New Roman" w:cs="Times New Roman"/>
          <w:sz w:val="24"/>
          <w:szCs w:val="24"/>
        </w:rPr>
        <w:t xml:space="preserve"> graph t</w:t>
      </w:r>
      <w:r w:rsidR="00A125C4" w:rsidRPr="009C31EA">
        <w:rPr>
          <w:rFonts w:ascii="Times New Roman" w:hAnsi="Times New Roman" w:cs="Times New Roman"/>
          <w:sz w:val="24"/>
          <w:szCs w:val="24"/>
        </w:rPr>
        <w:t xml:space="preserve">he state of Mississippi </w:t>
      </w:r>
      <w:r w:rsidR="008E32DA" w:rsidRPr="009C31EA">
        <w:rPr>
          <w:rFonts w:ascii="Times New Roman" w:hAnsi="Times New Roman" w:cs="Times New Roman"/>
          <w:sz w:val="24"/>
          <w:szCs w:val="24"/>
        </w:rPr>
        <w:t>had</w:t>
      </w:r>
      <w:r w:rsidR="00A125C4" w:rsidRPr="009C31EA">
        <w:rPr>
          <w:rFonts w:ascii="Times New Roman" w:hAnsi="Times New Roman" w:cs="Times New Roman"/>
          <w:sz w:val="24"/>
          <w:szCs w:val="24"/>
        </w:rPr>
        <w:t xml:space="preserve"> an average of </w:t>
      </w:r>
      <w:r w:rsidR="008E32DA" w:rsidRPr="009C31EA">
        <w:rPr>
          <w:rFonts w:ascii="Times New Roman" w:hAnsi="Times New Roman" w:cs="Times New Roman"/>
          <w:sz w:val="24"/>
          <w:szCs w:val="24"/>
        </w:rPr>
        <w:t xml:space="preserve">27% while California </w:t>
      </w:r>
      <w:r w:rsidR="000F4669" w:rsidRPr="009C31EA">
        <w:rPr>
          <w:rFonts w:ascii="Times New Roman" w:hAnsi="Times New Roman" w:cs="Times New Roman"/>
          <w:sz w:val="24"/>
          <w:szCs w:val="24"/>
        </w:rPr>
        <w:t>had an average that was below 1</w:t>
      </w:r>
      <w:r w:rsidR="008E32DA" w:rsidRPr="009C31EA">
        <w:rPr>
          <w:rFonts w:ascii="Times New Roman" w:hAnsi="Times New Roman" w:cs="Times New Roman"/>
          <w:sz w:val="24"/>
          <w:szCs w:val="24"/>
        </w:rPr>
        <w:t>% in</w:t>
      </w:r>
      <w:r w:rsidR="004B629B" w:rsidRPr="009C31EA">
        <w:rPr>
          <w:rFonts w:ascii="Times New Roman" w:hAnsi="Times New Roman" w:cs="Times New Roman"/>
          <w:sz w:val="24"/>
          <w:szCs w:val="24"/>
        </w:rPr>
        <w:t xml:space="preserve"> terms of the total percentage of its residents</w:t>
      </w:r>
      <w:r w:rsidR="008E32DA" w:rsidRPr="009C31EA">
        <w:rPr>
          <w:rFonts w:ascii="Times New Roman" w:hAnsi="Times New Roman" w:cs="Times New Roman"/>
          <w:sz w:val="24"/>
          <w:szCs w:val="24"/>
        </w:rPr>
        <w:t xml:space="preserve"> with disabilities in a large group like state institutio</w:t>
      </w:r>
      <w:r w:rsidR="005F2504" w:rsidRPr="009C31EA">
        <w:rPr>
          <w:rFonts w:ascii="Times New Roman" w:hAnsi="Times New Roman" w:cs="Times New Roman"/>
          <w:sz w:val="24"/>
          <w:szCs w:val="24"/>
        </w:rPr>
        <w:t>ns of care and service delivery (United Cerebral Palsy, 2016).</w:t>
      </w:r>
      <w:r w:rsidRPr="009C31EA">
        <w:rPr>
          <w:rFonts w:ascii="Times New Roman" w:hAnsi="Times New Roman" w:cs="Times New Roman"/>
          <w:sz w:val="24"/>
          <w:szCs w:val="24"/>
        </w:rPr>
        <w:t xml:space="preserve"> </w:t>
      </w:r>
    </w:p>
    <w:p w:rsidR="000609F2" w:rsidRPr="009C31EA" w:rsidRDefault="00903E18" w:rsidP="009C31EA">
      <w:pPr>
        <w:ind w:firstLine="0"/>
        <w:rPr>
          <w:rFonts w:ascii="Times New Roman" w:hAnsi="Times New Roman" w:cs="Times New Roman"/>
          <w:sz w:val="24"/>
          <w:szCs w:val="24"/>
        </w:rPr>
      </w:pPr>
      <w:r w:rsidRPr="009C31EA">
        <w:rPr>
          <w:rFonts w:ascii="Times New Roman" w:hAnsi="Times New Roman" w:cs="Times New Roman"/>
          <w:sz w:val="24"/>
          <w:szCs w:val="24"/>
        </w:rPr>
        <w:tab/>
        <w:t>The graphs below shows a comparison of the number of people and percentages of residents with disabilities that live in a large group like settings, state institutions in the states of California and Mississippi. In 2014, Missouri had a relatively large percentage of its population in large state institutions when compared to the state of California. The percentages were based on the dividing proportion of re</w:t>
      </w:r>
      <w:r w:rsidR="00172E0F" w:rsidRPr="009C31EA">
        <w:rPr>
          <w:rFonts w:ascii="Times New Roman" w:hAnsi="Times New Roman" w:cs="Times New Roman"/>
          <w:sz w:val="24"/>
          <w:szCs w:val="24"/>
        </w:rPr>
        <w:t xml:space="preserve">sidents </w:t>
      </w:r>
      <w:r w:rsidRPr="009C31EA">
        <w:rPr>
          <w:rFonts w:ascii="Times New Roman" w:hAnsi="Times New Roman" w:cs="Times New Roman"/>
          <w:sz w:val="24"/>
          <w:szCs w:val="24"/>
        </w:rPr>
        <w:t>by the states total population.</w:t>
      </w:r>
      <w:r w:rsidR="0022443E" w:rsidRPr="009C31EA">
        <w:rPr>
          <w:rFonts w:ascii="Times New Roman" w:hAnsi="Times New Roman" w:cs="Times New Roman"/>
          <w:sz w:val="24"/>
          <w:szCs w:val="24"/>
        </w:rPr>
        <w:tab/>
      </w:r>
      <w:r w:rsidR="00AA0B0D" w:rsidRPr="009C31EA">
        <w:rPr>
          <w:rFonts w:ascii="Times New Roman" w:hAnsi="Times New Roman" w:cs="Times New Roman"/>
          <w:sz w:val="24"/>
          <w:szCs w:val="24"/>
        </w:rPr>
        <w:t xml:space="preserve"> </w:t>
      </w:r>
    </w:p>
    <w:p w:rsidR="004B629B" w:rsidRPr="009C31EA" w:rsidRDefault="00903E18" w:rsidP="009C31EA">
      <w:pPr>
        <w:ind w:firstLine="0"/>
        <w:rPr>
          <w:rFonts w:ascii="Times New Roman" w:hAnsi="Times New Roman" w:cs="Times New Roman"/>
          <w:sz w:val="24"/>
          <w:szCs w:val="24"/>
        </w:rPr>
      </w:pPr>
      <w:r w:rsidRPr="009C31EA">
        <w:rPr>
          <w:rFonts w:ascii="Times New Roman" w:hAnsi="Times New Roman" w:cs="Times New Roman"/>
          <w:noProof/>
          <w:sz w:val="24"/>
          <w:szCs w:val="24"/>
        </w:rPr>
        <w:drawing>
          <wp:inline distT="0" distB="0" distL="0" distR="0">
            <wp:extent cx="5486400" cy="3762375"/>
            <wp:effectExtent l="19050" t="0" r="1905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22443E" w:rsidRPr="009C31EA" w:rsidRDefault="00903E18" w:rsidP="009C31EA">
      <w:pPr>
        <w:ind w:firstLine="0"/>
        <w:rPr>
          <w:rFonts w:ascii="Times New Roman" w:hAnsi="Times New Roman" w:cs="Times New Roman"/>
          <w:sz w:val="24"/>
          <w:szCs w:val="24"/>
        </w:rPr>
      </w:pPr>
      <w:r w:rsidRPr="009C31EA">
        <w:rPr>
          <w:rFonts w:ascii="Times New Roman" w:hAnsi="Times New Roman" w:cs="Times New Roman"/>
          <w:sz w:val="24"/>
          <w:szCs w:val="24"/>
        </w:rPr>
        <w:lastRenderedPageBreak/>
        <w:tab/>
      </w:r>
      <w:r w:rsidR="000F4669" w:rsidRPr="009C31EA">
        <w:rPr>
          <w:rFonts w:ascii="Times New Roman" w:hAnsi="Times New Roman" w:cs="Times New Roman"/>
          <w:sz w:val="24"/>
          <w:szCs w:val="24"/>
        </w:rPr>
        <w:t xml:space="preserve">According to the </w:t>
      </w:r>
      <w:r w:rsidR="00381EDE" w:rsidRPr="009C31EA">
        <w:rPr>
          <w:rFonts w:ascii="Times New Roman" w:hAnsi="Times New Roman" w:cs="Times New Roman"/>
          <w:sz w:val="24"/>
          <w:szCs w:val="24"/>
        </w:rPr>
        <w:t xml:space="preserve">first graph, </w:t>
      </w:r>
      <w:r w:rsidR="000F4669" w:rsidRPr="009C31EA">
        <w:rPr>
          <w:rFonts w:ascii="Times New Roman" w:hAnsi="Times New Roman" w:cs="Times New Roman"/>
          <w:sz w:val="24"/>
          <w:szCs w:val="24"/>
        </w:rPr>
        <w:t xml:space="preserve">27.05% of the Mississippi residents who had </w:t>
      </w:r>
      <w:r w:rsidR="00381EDE" w:rsidRPr="009C31EA">
        <w:rPr>
          <w:rFonts w:ascii="Times New Roman" w:hAnsi="Times New Roman" w:cs="Times New Roman"/>
          <w:sz w:val="24"/>
          <w:szCs w:val="24"/>
        </w:rPr>
        <w:t>disabilities were</w:t>
      </w:r>
      <w:r w:rsidR="000F4669" w:rsidRPr="009C31EA">
        <w:rPr>
          <w:rFonts w:ascii="Times New Roman" w:hAnsi="Times New Roman" w:cs="Times New Roman"/>
          <w:sz w:val="24"/>
          <w:szCs w:val="24"/>
        </w:rPr>
        <w:t xml:space="preserve"> living in large state institutions of care. </w:t>
      </w:r>
      <w:r w:rsidR="00381EDE" w:rsidRPr="009C31EA">
        <w:rPr>
          <w:rFonts w:ascii="Times New Roman" w:hAnsi="Times New Roman" w:cs="Times New Roman"/>
          <w:sz w:val="24"/>
          <w:szCs w:val="24"/>
        </w:rPr>
        <w:t>As illustrated in the second graph this percentage represented 1139 individuals. Upon further analysis, one was able to determine that the total number of individuals in Mississippi who had disabilities was approximately 4211.</w:t>
      </w:r>
    </w:p>
    <w:p w:rsidR="00381EDE" w:rsidRPr="009C31EA" w:rsidRDefault="00903E18" w:rsidP="009C31EA">
      <w:pPr>
        <w:ind w:firstLine="0"/>
        <w:rPr>
          <w:rFonts w:ascii="Times New Roman" w:hAnsi="Times New Roman" w:cs="Times New Roman"/>
          <w:sz w:val="24"/>
          <w:szCs w:val="24"/>
        </w:rPr>
      </w:pPr>
      <w:r w:rsidRPr="009C31EA">
        <w:rPr>
          <w:rFonts w:ascii="Times New Roman" w:hAnsi="Times New Roman" w:cs="Times New Roman"/>
          <w:sz w:val="24"/>
          <w:szCs w:val="24"/>
        </w:rPr>
        <w:tab/>
        <w:t>In the case of California, only 1120 individuals who had disabilities were committed to large state institutions of care. This represented a mere 0.53% of the states total population of individuals who had disabilities. Further analysis of the information of the data from the graphs led to the determination that the total number of California residents with disabilities was 211321 persons.</w:t>
      </w:r>
    </w:p>
    <w:p w:rsidR="006041AE" w:rsidRPr="009C31EA" w:rsidRDefault="00903E18" w:rsidP="009C31EA">
      <w:pPr>
        <w:rPr>
          <w:rFonts w:ascii="Times New Roman" w:hAnsi="Times New Roman" w:cs="Times New Roman"/>
          <w:sz w:val="24"/>
          <w:szCs w:val="24"/>
        </w:rPr>
      </w:pPr>
      <w:r w:rsidRPr="009C31EA">
        <w:rPr>
          <w:rFonts w:ascii="Times New Roman" w:hAnsi="Times New Roman" w:cs="Times New Roman"/>
          <w:sz w:val="24"/>
          <w:szCs w:val="24"/>
        </w:rPr>
        <w:t xml:space="preserve">Despite Mississippi having only a slightly higher number of persons committed in large state institutions of care for persons with disabilities than California, the percentages in the first graph show </w:t>
      </w:r>
      <w:r w:rsidR="007F60F3" w:rsidRPr="009C31EA">
        <w:rPr>
          <w:rFonts w:ascii="Times New Roman" w:hAnsi="Times New Roman" w:cs="Times New Roman"/>
          <w:sz w:val="24"/>
          <w:szCs w:val="24"/>
        </w:rPr>
        <w:t>very large differences. The percentage of Mississippi's disabled population in large state institutions was relatively high due to the fact that Mississippi is a small state with a population of only about 2.9 million people. This translates to the prevalence of disabilities that require persons to be committed to being very low. However, in the case of California which had a very high population in 2014</w:t>
      </w:r>
      <w:r w:rsidRPr="009C31EA">
        <w:rPr>
          <w:rFonts w:ascii="Times New Roman" w:hAnsi="Times New Roman" w:cs="Times New Roman"/>
          <w:sz w:val="24"/>
          <w:szCs w:val="24"/>
        </w:rPr>
        <w:t>, approximated</w:t>
      </w:r>
      <w:r w:rsidR="007F60F3" w:rsidRPr="009C31EA">
        <w:rPr>
          <w:rFonts w:ascii="Times New Roman" w:hAnsi="Times New Roman" w:cs="Times New Roman"/>
          <w:sz w:val="24"/>
          <w:szCs w:val="24"/>
        </w:rPr>
        <w:t xml:space="preserve"> at 38.7, the total number of residents with disabilities was much higher than that of </w:t>
      </w:r>
      <w:r w:rsidRPr="009C31EA">
        <w:rPr>
          <w:rFonts w:ascii="Times New Roman" w:hAnsi="Times New Roman" w:cs="Times New Roman"/>
          <w:sz w:val="24"/>
          <w:szCs w:val="24"/>
        </w:rPr>
        <w:t>Mississippi. The fact that this did not translate to the rate of the persons with disabilities being committed meant that only a very small percentage of the population, 1 percent, was committed in its state institutions for the care of persons with disabilities.</w:t>
      </w:r>
    </w:p>
    <w:p w:rsidR="006041AE" w:rsidRPr="009C31EA" w:rsidRDefault="00903E18" w:rsidP="009C31EA">
      <w:pPr>
        <w:rPr>
          <w:rFonts w:ascii="Times New Roman" w:hAnsi="Times New Roman" w:cs="Times New Roman"/>
          <w:sz w:val="24"/>
          <w:szCs w:val="24"/>
        </w:rPr>
      </w:pPr>
      <w:r w:rsidRPr="009C31EA">
        <w:rPr>
          <w:rFonts w:ascii="Times New Roman" w:hAnsi="Times New Roman" w:cs="Times New Roman"/>
          <w:sz w:val="24"/>
          <w:szCs w:val="24"/>
        </w:rPr>
        <w:t xml:space="preserve">The data, however, left a few questions unanswered. It did not provide as to why the rates of commitment into the large state institutions were so low in the state of California. Also, the question of whether the sample size represented all residents of the two states that had any kind </w:t>
      </w:r>
      <w:r w:rsidRPr="009C31EA">
        <w:rPr>
          <w:rFonts w:ascii="Times New Roman" w:hAnsi="Times New Roman" w:cs="Times New Roman"/>
          <w:sz w:val="24"/>
          <w:szCs w:val="24"/>
        </w:rPr>
        <w:lastRenderedPageBreak/>
        <w:t xml:space="preserve">or form of disabilities was not addressed in the data. </w:t>
      </w:r>
      <w:r w:rsidR="00CF12FC" w:rsidRPr="009C31EA">
        <w:rPr>
          <w:rFonts w:ascii="Times New Roman" w:hAnsi="Times New Roman" w:cs="Times New Roman"/>
          <w:sz w:val="24"/>
          <w:szCs w:val="24"/>
        </w:rPr>
        <w:t>In the analysis, one could not be able to understand if the data representing a portion of the population which had extreme disabilities or it represented the total number of residents with disabilities.</w:t>
      </w:r>
      <w:r w:rsidRPr="009C31EA">
        <w:rPr>
          <w:rFonts w:ascii="Times New Roman" w:hAnsi="Times New Roman" w:cs="Times New Roman"/>
          <w:sz w:val="24"/>
          <w:szCs w:val="24"/>
        </w:rPr>
        <w:t xml:space="preserve"> </w:t>
      </w:r>
    </w:p>
    <w:p w:rsidR="00CF12FC" w:rsidRPr="009C31EA" w:rsidRDefault="00903E18" w:rsidP="009C31EA">
      <w:pPr>
        <w:rPr>
          <w:rFonts w:ascii="Times New Roman" w:hAnsi="Times New Roman" w:cs="Times New Roman"/>
          <w:sz w:val="24"/>
          <w:szCs w:val="24"/>
        </w:rPr>
      </w:pPr>
      <w:r w:rsidRPr="009C31EA">
        <w:rPr>
          <w:rFonts w:ascii="Times New Roman" w:hAnsi="Times New Roman" w:cs="Times New Roman"/>
          <w:sz w:val="24"/>
          <w:szCs w:val="24"/>
        </w:rPr>
        <w:t xml:space="preserve"> </w:t>
      </w:r>
      <w:r w:rsidR="00840CE8" w:rsidRPr="009C31EA">
        <w:rPr>
          <w:rFonts w:ascii="Times New Roman" w:hAnsi="Times New Roman" w:cs="Times New Roman"/>
          <w:sz w:val="24"/>
          <w:szCs w:val="24"/>
        </w:rPr>
        <w:t xml:space="preserve">The data provided on the </w:t>
      </w:r>
      <w:r w:rsidR="008E32DA" w:rsidRPr="009C31EA">
        <w:rPr>
          <w:rFonts w:ascii="Times New Roman" w:hAnsi="Times New Roman" w:cs="Times New Roman"/>
          <w:sz w:val="24"/>
          <w:szCs w:val="24"/>
        </w:rPr>
        <w:t>number of people with disabili</w:t>
      </w:r>
      <w:r w:rsidR="004B629B" w:rsidRPr="009C31EA">
        <w:rPr>
          <w:rFonts w:ascii="Times New Roman" w:hAnsi="Times New Roman" w:cs="Times New Roman"/>
          <w:sz w:val="24"/>
          <w:szCs w:val="24"/>
        </w:rPr>
        <w:t>tie</w:t>
      </w:r>
      <w:r w:rsidR="00840CE8" w:rsidRPr="009C31EA">
        <w:rPr>
          <w:rFonts w:ascii="Times New Roman" w:hAnsi="Times New Roman" w:cs="Times New Roman"/>
          <w:sz w:val="24"/>
          <w:szCs w:val="24"/>
        </w:rPr>
        <w:t>s that are liv</w:t>
      </w:r>
      <w:r w:rsidR="00172E0F" w:rsidRPr="009C31EA">
        <w:rPr>
          <w:rFonts w:ascii="Times New Roman" w:hAnsi="Times New Roman" w:cs="Times New Roman"/>
          <w:sz w:val="24"/>
          <w:szCs w:val="24"/>
        </w:rPr>
        <w:t>ing in a large group like state</w:t>
      </w:r>
      <w:r w:rsidR="00840CE8" w:rsidRPr="009C31EA">
        <w:rPr>
          <w:rFonts w:ascii="Times New Roman" w:hAnsi="Times New Roman" w:cs="Times New Roman"/>
          <w:sz w:val="24"/>
          <w:szCs w:val="24"/>
        </w:rPr>
        <w:t xml:space="preserve"> institutions</w:t>
      </w:r>
      <w:r w:rsidR="007F7C40" w:rsidRPr="009C31EA">
        <w:rPr>
          <w:rFonts w:ascii="Times New Roman" w:hAnsi="Times New Roman" w:cs="Times New Roman"/>
          <w:sz w:val="24"/>
          <w:szCs w:val="24"/>
        </w:rPr>
        <w:t xml:space="preserve"> is both reliable and valid</w:t>
      </w:r>
      <w:r w:rsidR="00D94465" w:rsidRPr="009C31EA">
        <w:rPr>
          <w:rFonts w:ascii="Times New Roman" w:hAnsi="Times New Roman" w:cs="Times New Roman"/>
          <w:sz w:val="24"/>
          <w:szCs w:val="24"/>
        </w:rPr>
        <w:t xml:space="preserve">. </w:t>
      </w:r>
      <w:r w:rsidR="005F2504" w:rsidRPr="009C31EA">
        <w:rPr>
          <w:rFonts w:ascii="Times New Roman" w:hAnsi="Times New Roman" w:cs="Times New Roman"/>
          <w:sz w:val="24"/>
          <w:szCs w:val="24"/>
        </w:rPr>
        <w:t>According to Haele (2015), r</w:t>
      </w:r>
      <w:r w:rsidRPr="009C31EA">
        <w:rPr>
          <w:rFonts w:ascii="Times New Roman" w:hAnsi="Times New Roman" w:cs="Times New Roman"/>
          <w:sz w:val="24"/>
          <w:szCs w:val="24"/>
        </w:rPr>
        <w:t xml:space="preserve">eliable data is defined as data which provides constituent and stable results. On the other hand, the validity of data is described as the ability of data collected to provide a measurement of what it was supposed to measure during a research project. </w:t>
      </w:r>
      <w:r w:rsidR="00D94465" w:rsidRPr="009C31EA">
        <w:rPr>
          <w:rFonts w:ascii="Times New Roman" w:hAnsi="Times New Roman" w:cs="Times New Roman"/>
          <w:sz w:val="24"/>
          <w:szCs w:val="24"/>
        </w:rPr>
        <w:t>The reliability of the data is proved by the fact that the</w:t>
      </w:r>
      <w:r w:rsidR="00703D92" w:rsidRPr="009C31EA">
        <w:rPr>
          <w:rFonts w:ascii="Times New Roman" w:hAnsi="Times New Roman" w:cs="Times New Roman"/>
          <w:sz w:val="24"/>
          <w:szCs w:val="24"/>
        </w:rPr>
        <w:t xml:space="preserve"> </w:t>
      </w:r>
      <w:r w:rsidR="00840CE8" w:rsidRPr="009C31EA">
        <w:rPr>
          <w:rFonts w:ascii="Times New Roman" w:hAnsi="Times New Roman" w:cs="Times New Roman"/>
          <w:sz w:val="24"/>
          <w:szCs w:val="24"/>
        </w:rPr>
        <w:t xml:space="preserve">United </w:t>
      </w:r>
      <w:r w:rsidR="00703D92" w:rsidRPr="009C31EA">
        <w:rPr>
          <w:rFonts w:ascii="Times New Roman" w:hAnsi="Times New Roman" w:cs="Times New Roman"/>
          <w:sz w:val="24"/>
          <w:szCs w:val="24"/>
        </w:rPr>
        <w:t xml:space="preserve">Cerebral Palsy </w:t>
      </w:r>
      <w:r w:rsidR="00840CE8" w:rsidRPr="009C31EA">
        <w:rPr>
          <w:rFonts w:ascii="Times New Roman" w:hAnsi="Times New Roman" w:cs="Times New Roman"/>
          <w:sz w:val="24"/>
          <w:szCs w:val="24"/>
        </w:rPr>
        <w:t>(UCP) is a</w:t>
      </w:r>
      <w:r w:rsidR="00703D92" w:rsidRPr="009C31EA">
        <w:rPr>
          <w:rFonts w:ascii="Times New Roman" w:hAnsi="Times New Roman" w:cs="Times New Roman"/>
          <w:sz w:val="24"/>
          <w:szCs w:val="24"/>
        </w:rPr>
        <w:t>n</w:t>
      </w:r>
      <w:r w:rsidR="00840CE8" w:rsidRPr="009C31EA">
        <w:rPr>
          <w:rFonts w:ascii="Times New Roman" w:hAnsi="Times New Roman" w:cs="Times New Roman"/>
          <w:sz w:val="24"/>
          <w:szCs w:val="24"/>
        </w:rPr>
        <w:t xml:space="preserve"> </w:t>
      </w:r>
      <w:r w:rsidR="00703D92" w:rsidRPr="009C31EA">
        <w:rPr>
          <w:rFonts w:ascii="Times New Roman" w:hAnsi="Times New Roman" w:cs="Times New Roman"/>
          <w:sz w:val="24"/>
          <w:szCs w:val="24"/>
        </w:rPr>
        <w:t xml:space="preserve">internationally renowned </w:t>
      </w:r>
      <w:r w:rsidR="00840CE8" w:rsidRPr="009C31EA">
        <w:rPr>
          <w:rFonts w:ascii="Times New Roman" w:hAnsi="Times New Roman" w:cs="Times New Roman"/>
          <w:sz w:val="24"/>
          <w:szCs w:val="24"/>
        </w:rPr>
        <w:t>charitable nonprofit organization that provides to adults and children living with disabilities. The main aim of the UCP is to promote personal independence, increase the level of productivity and ensure the attainment of full citizenship of all individuals living with disabilities as well as their families or caregivers in the</w:t>
      </w:r>
      <w:r w:rsidR="00703D92" w:rsidRPr="009C31EA">
        <w:rPr>
          <w:rFonts w:ascii="Times New Roman" w:hAnsi="Times New Roman" w:cs="Times New Roman"/>
          <w:sz w:val="24"/>
          <w:szCs w:val="24"/>
        </w:rPr>
        <w:t xml:space="preserve"> United States. Additionally, the organization has been consistently providing data on states ranking with regards to service provision to people with disabilities for over a decade now. Also, the ranking of the states is based upon at least thirty different measures. </w:t>
      </w:r>
      <w:r w:rsidR="000D7CD7" w:rsidRPr="009C31EA">
        <w:rPr>
          <w:rFonts w:ascii="Times New Roman" w:hAnsi="Times New Roman" w:cs="Times New Roman"/>
          <w:sz w:val="24"/>
          <w:szCs w:val="24"/>
        </w:rPr>
        <w:t xml:space="preserve">This provides for content validity in the data provided. </w:t>
      </w:r>
      <w:r w:rsidR="00703D92" w:rsidRPr="009C31EA">
        <w:rPr>
          <w:rFonts w:ascii="Times New Roman" w:hAnsi="Times New Roman" w:cs="Times New Roman"/>
          <w:sz w:val="24"/>
          <w:szCs w:val="24"/>
        </w:rPr>
        <w:t>Also, according to the 2016 UCP report, all the data used in the ranking process was obtained from national sources whose credibility was verified. The data was obtained from the respective states and was directly forwarded to the federal government.</w:t>
      </w:r>
      <w:r w:rsidR="000D7CD7" w:rsidRPr="009C31EA">
        <w:rPr>
          <w:rFonts w:ascii="Times New Roman" w:hAnsi="Times New Roman" w:cs="Times New Roman"/>
          <w:sz w:val="24"/>
          <w:szCs w:val="24"/>
        </w:rPr>
        <w:t xml:space="preserve"> </w:t>
      </w:r>
    </w:p>
    <w:p w:rsidR="00840CE8" w:rsidRPr="009C31EA" w:rsidRDefault="00903E18" w:rsidP="009C31EA">
      <w:pPr>
        <w:rPr>
          <w:rFonts w:ascii="Times New Roman" w:hAnsi="Times New Roman" w:cs="Times New Roman"/>
          <w:sz w:val="24"/>
          <w:szCs w:val="24"/>
        </w:rPr>
      </w:pPr>
      <w:r w:rsidRPr="009C31EA">
        <w:rPr>
          <w:rFonts w:ascii="Times New Roman" w:hAnsi="Times New Roman" w:cs="Times New Roman"/>
          <w:sz w:val="24"/>
          <w:szCs w:val="24"/>
        </w:rPr>
        <w:t>However,</w:t>
      </w:r>
      <w:r w:rsidR="005F2504" w:rsidRPr="009C31EA">
        <w:rPr>
          <w:rFonts w:ascii="Times New Roman" w:hAnsi="Times New Roman" w:cs="Times New Roman"/>
          <w:sz w:val="24"/>
          <w:szCs w:val="24"/>
        </w:rPr>
        <w:t xml:space="preserve"> according to the United Cerebral Palsy Report (2016),</w:t>
      </w:r>
      <w:r w:rsidRPr="009C31EA">
        <w:rPr>
          <w:rFonts w:ascii="Times New Roman" w:hAnsi="Times New Roman" w:cs="Times New Roman"/>
          <w:sz w:val="24"/>
          <w:szCs w:val="24"/>
        </w:rPr>
        <w:t xml:space="preserve"> the data used in the rankings is not without flaw as most of it is self-reported by individual states.</w:t>
      </w:r>
      <w:r w:rsidR="00CF12FC" w:rsidRPr="009C31EA">
        <w:rPr>
          <w:rFonts w:ascii="Times New Roman" w:hAnsi="Times New Roman" w:cs="Times New Roman"/>
          <w:sz w:val="24"/>
          <w:szCs w:val="24"/>
        </w:rPr>
        <w:t xml:space="preserve"> Therefore, the data collected could be subject to bias. Some states could intentionally manipulate the figures provided in a bid to improve their rankings on the UCP’s report. This might pose a huge </w:t>
      </w:r>
      <w:r w:rsidR="00CF12FC" w:rsidRPr="009C31EA">
        <w:rPr>
          <w:rFonts w:ascii="Times New Roman" w:hAnsi="Times New Roman" w:cs="Times New Roman"/>
          <w:sz w:val="24"/>
          <w:szCs w:val="24"/>
        </w:rPr>
        <w:lastRenderedPageBreak/>
        <w:t>challenge as this would lead to the entire report and data collected being discredited on the basis of lack of validity. However, despite</w:t>
      </w:r>
      <w:r w:rsidRPr="009C31EA">
        <w:rPr>
          <w:rFonts w:ascii="Times New Roman" w:hAnsi="Times New Roman" w:cs="Times New Roman"/>
          <w:sz w:val="24"/>
          <w:szCs w:val="24"/>
        </w:rPr>
        <w:t xml:space="preserve"> this flaw, the da</w:t>
      </w:r>
      <w:r w:rsidR="00CF12FC" w:rsidRPr="009C31EA">
        <w:rPr>
          <w:rFonts w:ascii="Times New Roman" w:hAnsi="Times New Roman" w:cs="Times New Roman"/>
          <w:sz w:val="24"/>
          <w:szCs w:val="24"/>
        </w:rPr>
        <w:t>ta is classified as reliable. This is attributed</w:t>
      </w:r>
      <w:r w:rsidRPr="009C31EA">
        <w:rPr>
          <w:rFonts w:ascii="Times New Roman" w:hAnsi="Times New Roman" w:cs="Times New Roman"/>
          <w:sz w:val="24"/>
          <w:szCs w:val="24"/>
        </w:rPr>
        <w:t xml:space="preserve"> to the fact that in case of suspicion that the data collected has anomalies, UCP takes it upon itself to follow up and carry out investigation and give the sources a chance to correct the data.</w:t>
      </w:r>
      <w:r w:rsidR="00703D92" w:rsidRPr="009C31EA">
        <w:rPr>
          <w:rFonts w:ascii="Times New Roman" w:hAnsi="Times New Roman" w:cs="Times New Roman"/>
          <w:sz w:val="24"/>
          <w:szCs w:val="24"/>
        </w:rPr>
        <w:t xml:space="preserve"> </w:t>
      </w:r>
    </w:p>
    <w:p w:rsidR="00253EB7" w:rsidRPr="009C31EA" w:rsidRDefault="00903E18" w:rsidP="009C31EA">
      <w:pPr>
        <w:rPr>
          <w:rFonts w:ascii="Times New Roman" w:hAnsi="Times New Roman" w:cs="Times New Roman"/>
          <w:sz w:val="24"/>
          <w:szCs w:val="24"/>
        </w:rPr>
      </w:pPr>
      <w:r w:rsidRPr="009C31EA">
        <w:rPr>
          <w:rFonts w:ascii="Times New Roman" w:hAnsi="Times New Roman" w:cs="Times New Roman"/>
          <w:sz w:val="24"/>
          <w:szCs w:val="24"/>
        </w:rPr>
        <w:t>From the analysis of the data, both states are performing dismally in relations to offering services and care to persons with disabilities. The state of California despite its massive</w:t>
      </w:r>
      <w:r w:rsidR="00172E0F" w:rsidRPr="009C31EA">
        <w:rPr>
          <w:rFonts w:ascii="Times New Roman" w:hAnsi="Times New Roman" w:cs="Times New Roman"/>
          <w:sz w:val="24"/>
          <w:szCs w:val="24"/>
        </w:rPr>
        <w:t xml:space="preserve"> size, population and relative</w:t>
      </w:r>
      <w:r w:rsidRPr="009C31EA">
        <w:rPr>
          <w:rFonts w:ascii="Times New Roman" w:hAnsi="Times New Roman" w:cs="Times New Roman"/>
          <w:sz w:val="24"/>
          <w:szCs w:val="24"/>
        </w:rPr>
        <w:t xml:space="preserve"> high prevalence rate of disabilities has extremely low rates of patient commitment into its large institutions of care for disabled persons. This means that its structures are operating at below their capacity. Their potential is hugely under-utilized. This means that California has a huge room for improvement in its self to provide high-quality care and services to persons with disabilities. The graphs indicate that there is a need to put more effort into the process of empowering the disabled. The state of Mississippi, despite its relatively higher, relate of admission into large state institutions also has a chance to improve its level of service delivery. Contingencies should be put in place to ens</w:t>
      </w:r>
      <w:r w:rsidR="00172E0F" w:rsidRPr="009C31EA">
        <w:rPr>
          <w:rFonts w:ascii="Times New Roman" w:hAnsi="Times New Roman" w:cs="Times New Roman"/>
          <w:sz w:val="24"/>
          <w:szCs w:val="24"/>
        </w:rPr>
        <w:t>ure that more individuals with</w:t>
      </w:r>
      <w:r w:rsidRPr="009C31EA">
        <w:rPr>
          <w:rFonts w:ascii="Times New Roman" w:hAnsi="Times New Roman" w:cs="Times New Roman"/>
          <w:sz w:val="24"/>
          <w:szCs w:val="24"/>
        </w:rPr>
        <w:t xml:space="preserve"> disabilities in the state reap from the benefits of being committed in a group like settings that are provided by large state institutions of service provision and care for individuals with disabilities.</w:t>
      </w:r>
    </w:p>
    <w:p w:rsidR="002C744A" w:rsidRPr="009C31EA" w:rsidRDefault="00903E18" w:rsidP="009C31EA">
      <w:pPr>
        <w:rPr>
          <w:rFonts w:ascii="Times New Roman" w:hAnsi="Times New Roman" w:cs="Times New Roman"/>
          <w:sz w:val="24"/>
          <w:szCs w:val="24"/>
        </w:rPr>
      </w:pPr>
      <w:r w:rsidRPr="009C31EA">
        <w:rPr>
          <w:rFonts w:ascii="Times New Roman" w:hAnsi="Times New Roman" w:cs="Times New Roman"/>
          <w:sz w:val="24"/>
          <w:szCs w:val="24"/>
        </w:rPr>
        <w:t>In conclusion, from the analysis of the data between the two states, it is evident that most people with disabilities in the United States prefer living in family-like settings. This factor was the main reason that why the states experienced low levels of people with disabilities being committed to large state institutions of care. This means that most individuals with disabilities have the perception that they would be able to attain more empowerment when they are in a family setting rather than a setting which is large and group like.</w:t>
      </w:r>
    </w:p>
    <w:p w:rsidR="00253EB7" w:rsidRPr="009C31EA" w:rsidRDefault="00903E18" w:rsidP="009C31EA">
      <w:pPr>
        <w:rPr>
          <w:rFonts w:ascii="Times New Roman" w:hAnsi="Times New Roman" w:cs="Times New Roman"/>
          <w:sz w:val="24"/>
          <w:szCs w:val="24"/>
        </w:rPr>
      </w:pPr>
      <w:r w:rsidRPr="009C31EA">
        <w:rPr>
          <w:rFonts w:ascii="Times New Roman" w:hAnsi="Times New Roman" w:cs="Times New Roman"/>
          <w:sz w:val="24"/>
          <w:szCs w:val="24"/>
        </w:rPr>
        <w:br w:type="page"/>
      </w:r>
    </w:p>
    <w:p w:rsidR="00253EB7" w:rsidRPr="009C31EA" w:rsidRDefault="00903E18" w:rsidP="009C31EA">
      <w:pPr>
        <w:ind w:firstLine="0"/>
        <w:jc w:val="center"/>
        <w:rPr>
          <w:rFonts w:ascii="Times New Roman" w:hAnsi="Times New Roman" w:cs="Times New Roman"/>
          <w:sz w:val="24"/>
          <w:szCs w:val="24"/>
        </w:rPr>
      </w:pPr>
      <w:r w:rsidRPr="009C31EA">
        <w:rPr>
          <w:rFonts w:ascii="Times New Roman" w:hAnsi="Times New Roman" w:cs="Times New Roman"/>
          <w:sz w:val="24"/>
          <w:szCs w:val="24"/>
        </w:rPr>
        <w:lastRenderedPageBreak/>
        <w:t>References</w:t>
      </w:r>
    </w:p>
    <w:p w:rsidR="00073727" w:rsidRPr="009C31EA" w:rsidRDefault="00073727" w:rsidP="009C31EA">
      <w:pPr>
        <w:ind w:left="720" w:hanging="720"/>
        <w:rPr>
          <w:rFonts w:ascii="Times New Roman" w:hAnsi="Times New Roman" w:cs="Times New Roman"/>
          <w:sz w:val="24"/>
          <w:szCs w:val="24"/>
        </w:rPr>
      </w:pPr>
      <w:r w:rsidRPr="009C31EA">
        <w:rPr>
          <w:rFonts w:ascii="Times New Roman" w:hAnsi="Times New Roman" w:cs="Times New Roman"/>
          <w:sz w:val="24"/>
          <w:szCs w:val="24"/>
        </w:rPr>
        <w:t>Heale, R., &amp; Twycross, A. (2015). Validity and reliability in quantitative studies. Evidence-based nursing, ebnurs-2015.</w:t>
      </w:r>
    </w:p>
    <w:p w:rsidR="00073727" w:rsidRPr="009C31EA" w:rsidRDefault="00073727" w:rsidP="009C31EA">
      <w:pPr>
        <w:ind w:left="720" w:hanging="720"/>
        <w:rPr>
          <w:rFonts w:ascii="Times New Roman" w:hAnsi="Times New Roman" w:cs="Times New Roman"/>
          <w:sz w:val="24"/>
          <w:szCs w:val="24"/>
        </w:rPr>
      </w:pPr>
      <w:r w:rsidRPr="009C31EA">
        <w:rPr>
          <w:rFonts w:ascii="Times New Roman" w:hAnsi="Times New Roman" w:cs="Times New Roman"/>
          <w:sz w:val="24"/>
          <w:szCs w:val="24"/>
        </w:rPr>
        <w:t xml:space="preserve">United Cerebral Palsy. (2016). Data. Retrieved from </w:t>
      </w:r>
      <w:hyperlink r:id="rId8" w:history="1">
        <w:r w:rsidRPr="009C31EA">
          <w:rPr>
            <w:rStyle w:val="Hyperlink"/>
            <w:rFonts w:ascii="Times New Roman" w:hAnsi="Times New Roman" w:cs="Times New Roman"/>
            <w:sz w:val="24"/>
            <w:szCs w:val="24"/>
          </w:rPr>
          <w:t>http://cfi.ucp.org/data/</w:t>
        </w:r>
      </w:hyperlink>
      <w:r w:rsidRPr="009C31EA">
        <w:rPr>
          <w:rFonts w:ascii="Times New Roman" w:hAnsi="Times New Roman" w:cs="Times New Roman"/>
          <w:sz w:val="24"/>
          <w:szCs w:val="24"/>
        </w:rPr>
        <w:t xml:space="preserve"> </w:t>
      </w:r>
    </w:p>
    <w:p w:rsidR="00073727" w:rsidRPr="009C31EA" w:rsidRDefault="00073727" w:rsidP="009C31EA">
      <w:pPr>
        <w:ind w:left="720" w:hanging="720"/>
        <w:rPr>
          <w:rFonts w:ascii="Times New Roman" w:hAnsi="Times New Roman" w:cs="Times New Roman"/>
          <w:sz w:val="24"/>
          <w:szCs w:val="24"/>
        </w:rPr>
      </w:pPr>
      <w:r w:rsidRPr="009C31EA">
        <w:rPr>
          <w:rFonts w:ascii="Times New Roman" w:hAnsi="Times New Roman" w:cs="Times New Roman"/>
          <w:sz w:val="24"/>
          <w:szCs w:val="24"/>
        </w:rPr>
        <w:t>United cerebral palsy. (2016). The Case of inclusion report of 2016.</w:t>
      </w:r>
    </w:p>
    <w:sectPr w:rsidR="00073727" w:rsidRPr="009C31EA" w:rsidSect="009F3297">
      <w:headerReference w:type="default" r:id="rId9"/>
      <w:headerReference w:type="first" r:id="rId10"/>
      <w:pgSz w:w="12240" w:h="15840"/>
      <w:pgMar w:top="1440" w:right="1440" w:bottom="1440" w:left="1440" w:header="720" w:footer="720" w:gutter="0"/>
      <w:pgNumType w:start="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2872B5A8" w15:done="0"/>
  <w15:commentEx w15:paraId="059F0A50" w15:done="0"/>
  <w15:commentEx w15:paraId="30B36AD3" w15:done="0"/>
  <w15:commentEx w15:paraId="7642A11F" w15:done="0"/>
  <w15:commentEx w15:paraId="02BC0342" w15:done="0"/>
  <w15:commentEx w15:paraId="64636142" w15:done="0"/>
  <w15:commentEx w15:paraId="6E75F2A8" w15:done="0"/>
  <w15:commentEx w15:paraId="21252771" w15:done="0"/>
  <w15:commentEx w15:paraId="5219FC74" w15:done="0"/>
  <w15:commentEx w15:paraId="7470AA77" w15:done="0"/>
  <w15:commentEx w15:paraId="683828E4" w15:done="0"/>
  <w15:commentEx w15:paraId="4ECEBFE4" w15:done="0"/>
  <w15:commentEx w15:paraId="5BE4125F" w15:done="0"/>
  <w15:commentEx w15:paraId="1E00B464" w15:done="0"/>
  <w15:commentEx w15:paraId="7760D412" w15:done="0"/>
  <w15:commentEx w15:paraId="6804F7AB" w15:done="0"/>
  <w15:commentEx w15:paraId="745971F7" w15:done="0"/>
  <w15:commentEx w15:paraId="3EAA6BBE" w15:done="0"/>
  <w15:commentEx w15:paraId="161CDF31" w15:done="0"/>
  <w15:commentEx w15:paraId="02FCBD11" w15:done="0"/>
  <w15:commentEx w15:paraId="6C887714" w15:done="0"/>
  <w15:commentEx w15:paraId="45EA6076" w15:done="0"/>
  <w15:commentEx w15:paraId="26E543F3" w15:done="0"/>
  <w15:commentEx w15:paraId="3355D259" w15:done="0"/>
  <w15:commentEx w15:paraId="6458716A" w15:done="0"/>
  <w15:commentEx w15:paraId="035776C4" w15:done="0"/>
  <w15:commentEx w15:paraId="1E3764C1" w15:done="0"/>
  <w15:commentEx w15:paraId="08629D2C" w15:done="0"/>
  <w15:commentEx w15:paraId="3E4BCC78" w15:done="0"/>
  <w15:commentEx w15:paraId="6F076126" w15:done="0"/>
  <w15:commentEx w15:paraId="2E8E83AE" w15:done="0"/>
  <w15:commentEx w15:paraId="125F0D1D" w15:done="0"/>
  <w15:commentEx w15:paraId="5F54ABBB" w15:done="0"/>
  <w15:commentEx w15:paraId="3F7C99DE" w15:done="0"/>
  <w15:commentEx w15:paraId="662CAA57" w15:done="0"/>
  <w15:commentEx w15:paraId="05C6B738" w15:done="0"/>
  <w15:commentEx w15:paraId="529F749F" w15:done="0"/>
  <w15:commentEx w15:paraId="2C08A458" w15:done="0"/>
  <w15:commentEx w15:paraId="77D68E17" w15:done="0"/>
  <w15:commentEx w15:paraId="506C4ED6" w15:done="0"/>
  <w15:commentEx w15:paraId="7BF8B383" w15:done="0"/>
  <w15:commentEx w15:paraId="3E6A8D86" w15:done="0"/>
  <w15:commentEx w15:paraId="5FA4EB2F" w15:done="0"/>
  <w15:commentEx w15:paraId="15051586"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00B9" w:rsidRDefault="000700B9" w:rsidP="00A43E3E">
      <w:pPr>
        <w:spacing w:after="0" w:line="240" w:lineRule="auto"/>
      </w:pPr>
      <w:r>
        <w:separator/>
      </w:r>
    </w:p>
  </w:endnote>
  <w:endnote w:type="continuationSeparator" w:id="0">
    <w:p w:rsidR="000700B9" w:rsidRDefault="000700B9" w:rsidP="00A43E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00B9" w:rsidRDefault="000700B9" w:rsidP="00A43E3E">
      <w:pPr>
        <w:spacing w:after="0" w:line="240" w:lineRule="auto"/>
      </w:pPr>
      <w:r>
        <w:separator/>
      </w:r>
    </w:p>
  </w:footnote>
  <w:footnote w:type="continuationSeparator" w:id="0">
    <w:p w:rsidR="000700B9" w:rsidRDefault="000700B9" w:rsidP="00A43E3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0"/>
        <w:szCs w:val="20"/>
      </w:rPr>
      <w:id w:val="1000696419"/>
      <w:docPartObj>
        <w:docPartGallery w:val="Page Numbers (Top of Page)"/>
        <w:docPartUnique/>
      </w:docPartObj>
    </w:sdtPr>
    <w:sdtEndPr>
      <w:rPr>
        <w:noProof/>
      </w:rPr>
    </w:sdtEndPr>
    <w:sdtContent>
      <w:p w:rsidR="009F3297" w:rsidRPr="00073727" w:rsidRDefault="00903E18" w:rsidP="00073727">
        <w:pPr>
          <w:pStyle w:val="Header"/>
          <w:ind w:firstLine="0"/>
          <w:rPr>
            <w:rFonts w:ascii="Times New Roman" w:hAnsi="Times New Roman" w:cs="Times New Roman"/>
            <w:sz w:val="20"/>
            <w:szCs w:val="20"/>
          </w:rPr>
        </w:pPr>
        <w:r w:rsidRPr="009F3297">
          <w:rPr>
            <w:rFonts w:ascii="Times New Roman" w:hAnsi="Times New Roman" w:cs="Times New Roman"/>
            <w:sz w:val="20"/>
            <w:szCs w:val="20"/>
          </w:rPr>
          <w:t>A CASE FOR INCLUSION:  COMPARISON BETWEEN MISSISSIPPI AND CALIFORNIA</w:t>
        </w:r>
        <w:r>
          <w:rPr>
            <w:rFonts w:ascii="Times New Roman" w:hAnsi="Times New Roman" w:cs="Times New Roman"/>
            <w:sz w:val="20"/>
            <w:szCs w:val="20"/>
          </w:rPr>
          <w:t xml:space="preserve">               </w:t>
        </w:r>
        <w:r w:rsidRPr="009F3297">
          <w:rPr>
            <w:rFonts w:ascii="Times New Roman" w:hAnsi="Times New Roman" w:cs="Times New Roman"/>
            <w:sz w:val="20"/>
            <w:szCs w:val="20"/>
          </w:rPr>
          <w:t xml:space="preserve"> </w:t>
        </w:r>
        <w:r w:rsidR="00073727">
          <w:rPr>
            <w:rFonts w:ascii="Times New Roman" w:hAnsi="Times New Roman" w:cs="Times New Roman"/>
            <w:sz w:val="20"/>
            <w:szCs w:val="20"/>
          </w:rPr>
          <w:t xml:space="preserve">               </w:t>
        </w:r>
        <w:r w:rsidRPr="009F3297">
          <w:rPr>
            <w:rFonts w:ascii="Times New Roman" w:hAnsi="Times New Roman" w:cs="Times New Roman"/>
            <w:sz w:val="20"/>
            <w:szCs w:val="20"/>
          </w:rPr>
          <w:t xml:space="preserve"> </w:t>
        </w:r>
        <w:r w:rsidR="00902096" w:rsidRPr="009F3297">
          <w:rPr>
            <w:rFonts w:ascii="Times New Roman" w:hAnsi="Times New Roman" w:cs="Times New Roman"/>
            <w:sz w:val="20"/>
            <w:szCs w:val="20"/>
          </w:rPr>
          <w:fldChar w:fldCharType="begin"/>
        </w:r>
        <w:r w:rsidRPr="009F3297">
          <w:rPr>
            <w:rFonts w:ascii="Times New Roman" w:hAnsi="Times New Roman" w:cs="Times New Roman"/>
            <w:sz w:val="20"/>
            <w:szCs w:val="20"/>
          </w:rPr>
          <w:instrText xml:space="preserve"> PAGE   \* MERGEFORMAT </w:instrText>
        </w:r>
        <w:r w:rsidR="00902096" w:rsidRPr="009F3297">
          <w:rPr>
            <w:rFonts w:ascii="Times New Roman" w:hAnsi="Times New Roman" w:cs="Times New Roman"/>
            <w:sz w:val="20"/>
            <w:szCs w:val="20"/>
          </w:rPr>
          <w:fldChar w:fldCharType="separate"/>
        </w:r>
        <w:r w:rsidR="00C80679">
          <w:rPr>
            <w:rFonts w:ascii="Times New Roman" w:hAnsi="Times New Roman" w:cs="Times New Roman"/>
            <w:noProof/>
            <w:sz w:val="20"/>
            <w:szCs w:val="20"/>
          </w:rPr>
          <w:t>6</w:t>
        </w:r>
        <w:r w:rsidR="00902096" w:rsidRPr="009F3297">
          <w:rPr>
            <w:rFonts w:ascii="Times New Roman" w:hAnsi="Times New Roman" w:cs="Times New Roman"/>
            <w:noProof/>
            <w:sz w:val="20"/>
            <w:szCs w:val="20"/>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297" w:rsidRPr="009F3297" w:rsidRDefault="00903E18" w:rsidP="009F3297">
    <w:pPr>
      <w:pStyle w:val="Header"/>
      <w:ind w:firstLine="0"/>
      <w:rPr>
        <w:rFonts w:ascii="Times New Roman" w:hAnsi="Times New Roman" w:cs="Times New Roman"/>
        <w:sz w:val="20"/>
        <w:szCs w:val="20"/>
      </w:rPr>
    </w:pPr>
    <w:r w:rsidRPr="009F3297">
      <w:rPr>
        <w:rFonts w:ascii="Times New Roman" w:hAnsi="Times New Roman" w:cs="Times New Roman"/>
        <w:sz w:val="20"/>
        <w:szCs w:val="20"/>
      </w:rPr>
      <w:t>Runn</w:t>
    </w:r>
    <w:r w:rsidR="00073727">
      <w:rPr>
        <w:rFonts w:ascii="Times New Roman" w:hAnsi="Times New Roman" w:cs="Times New Roman"/>
        <w:sz w:val="20"/>
        <w:szCs w:val="20"/>
      </w:rPr>
      <w:t xml:space="preserve">ing head: A CASE FOR INCLUSION: </w:t>
    </w:r>
    <w:r w:rsidRPr="009F3297">
      <w:rPr>
        <w:rFonts w:ascii="Times New Roman" w:hAnsi="Times New Roman" w:cs="Times New Roman"/>
        <w:sz w:val="20"/>
        <w:szCs w:val="20"/>
      </w:rPr>
      <w:t>COMPARISON BETWEEN MISSISSIPPI AND CALIFORNIA</w:t>
    </w:r>
  </w:p>
  <w:p w:rsidR="009F3297" w:rsidRPr="009F3297" w:rsidRDefault="009F3297">
    <w:pPr>
      <w:pStyle w:val="Header"/>
      <w:rPr>
        <w:rFonts w:ascii="Times New Roman" w:hAnsi="Times New Roman" w:cs="Times New Roman"/>
        <w:sz w:val="20"/>
        <w:szCs w:val="2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2976CB"/>
    <w:rsid w:val="000609F2"/>
    <w:rsid w:val="000700B9"/>
    <w:rsid w:val="00073727"/>
    <w:rsid w:val="000D7CD7"/>
    <w:rsid w:val="000F4669"/>
    <w:rsid w:val="00172E0F"/>
    <w:rsid w:val="0022443E"/>
    <w:rsid w:val="00253EB7"/>
    <w:rsid w:val="00282AA0"/>
    <w:rsid w:val="002976CB"/>
    <w:rsid w:val="002C744A"/>
    <w:rsid w:val="0033332B"/>
    <w:rsid w:val="00381EDE"/>
    <w:rsid w:val="003D25C4"/>
    <w:rsid w:val="004B629B"/>
    <w:rsid w:val="005F2504"/>
    <w:rsid w:val="006041AE"/>
    <w:rsid w:val="00703D92"/>
    <w:rsid w:val="007907F4"/>
    <w:rsid w:val="007F60F3"/>
    <w:rsid w:val="007F7C40"/>
    <w:rsid w:val="00825CF9"/>
    <w:rsid w:val="00840CE8"/>
    <w:rsid w:val="00896C3F"/>
    <w:rsid w:val="008E32DA"/>
    <w:rsid w:val="00902096"/>
    <w:rsid w:val="00903E18"/>
    <w:rsid w:val="00966B25"/>
    <w:rsid w:val="009C31EA"/>
    <w:rsid w:val="009F3297"/>
    <w:rsid w:val="00A125C4"/>
    <w:rsid w:val="00A43E3E"/>
    <w:rsid w:val="00AA0B0D"/>
    <w:rsid w:val="00B73F59"/>
    <w:rsid w:val="00BB4894"/>
    <w:rsid w:val="00C36040"/>
    <w:rsid w:val="00C80679"/>
    <w:rsid w:val="00CC109B"/>
    <w:rsid w:val="00CF12FC"/>
    <w:rsid w:val="00D94465"/>
    <w:rsid w:val="00F30373"/>
    <w:rsid w:val="00F909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E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09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09F2"/>
  </w:style>
  <w:style w:type="paragraph" w:styleId="Footer">
    <w:name w:val="footer"/>
    <w:basedOn w:val="Normal"/>
    <w:link w:val="FooterChar"/>
    <w:uiPriority w:val="99"/>
    <w:unhideWhenUsed/>
    <w:rsid w:val="000609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09F2"/>
  </w:style>
  <w:style w:type="character" w:styleId="Hyperlink">
    <w:name w:val="Hyperlink"/>
    <w:basedOn w:val="DefaultParagraphFont"/>
    <w:uiPriority w:val="99"/>
    <w:unhideWhenUsed/>
    <w:rsid w:val="00253EB7"/>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A43E3E"/>
    <w:pPr>
      <w:spacing w:line="240" w:lineRule="auto"/>
    </w:pPr>
    <w:rPr>
      <w:sz w:val="20"/>
      <w:szCs w:val="20"/>
    </w:rPr>
  </w:style>
  <w:style w:type="character" w:customStyle="1" w:styleId="CommentTextChar">
    <w:name w:val="Comment Text Char"/>
    <w:basedOn w:val="DefaultParagraphFont"/>
    <w:link w:val="CommentText"/>
    <w:uiPriority w:val="99"/>
    <w:semiHidden/>
    <w:rsid w:val="00A43E3E"/>
    <w:rPr>
      <w:sz w:val="20"/>
      <w:szCs w:val="20"/>
    </w:rPr>
  </w:style>
  <w:style w:type="paragraph" w:styleId="BalloonText">
    <w:name w:val="Balloon Text"/>
    <w:basedOn w:val="Normal"/>
    <w:link w:val="BalloonTextChar"/>
    <w:uiPriority w:val="99"/>
    <w:semiHidden/>
    <w:unhideWhenUsed/>
    <w:rsid w:val="007907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07F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fi.ucp.org/data/" TargetMode="External"/><Relationship Id="rId13" Type="http://schemas.microsoft.com/office/2011/relationships/commentsExtended" Target="commentsExtended.xml"/><Relationship Id="rId3" Type="http://schemas.openxmlformats.org/officeDocument/2006/relationships/webSettings" Target="webSettings.xml"/><Relationship Id="rId7" Type="http://schemas.openxmlformats.org/officeDocument/2006/relationships/chart" Target="charts/chart2.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Percentage of residents in large state facilities</a:t>
            </a:r>
          </a:p>
        </c:rich>
      </c:tx>
      <c:layout>
        <c:manualLayout>
          <c:xMode val="edge"/>
          <c:yMode val="edge"/>
          <c:x val="0.17770666873029092"/>
          <c:y val="2.7777777777777825E-2"/>
        </c:manualLayout>
      </c:layout>
      <c:spPr>
        <a:noFill/>
        <a:ln>
          <a:noFill/>
        </a:ln>
        <a:effectLst/>
      </c:spPr>
    </c:title>
    <c:plotArea>
      <c:layout/>
      <c:barChart>
        <c:barDir val="col"/>
        <c:grouping val="clustered"/>
        <c:ser>
          <c:idx val="0"/>
          <c:order val="0"/>
          <c:tx>
            <c:strRef>
              <c:f>Sheet1!$B$1</c:f>
              <c:strCache>
                <c:ptCount val="1"/>
                <c:pt idx="0">
                  <c:v>mississipi</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inEnd"/>
            <c:showVal val="1"/>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Sheet1!$A$2:$A$5</c:f>
              <c:numCache>
                <c:formatCode>General</c:formatCode>
                <c:ptCount val="4"/>
                <c:pt idx="0">
                  <c:v>2014</c:v>
                </c:pt>
              </c:numCache>
            </c:numRef>
          </c:cat>
          <c:val>
            <c:numRef>
              <c:f>Sheet1!$B$2:$B$5</c:f>
              <c:numCache>
                <c:formatCode>General</c:formatCode>
                <c:ptCount val="4"/>
                <c:pt idx="0" formatCode="0%">
                  <c:v>0.27050000000000002</c:v>
                </c:pt>
              </c:numCache>
            </c:numRef>
          </c:val>
        </c:ser>
        <c:ser>
          <c:idx val="1"/>
          <c:order val="1"/>
          <c:tx>
            <c:strRef>
              <c:f>Sheet1!$C$1</c:f>
              <c:strCache>
                <c:ptCount val="1"/>
                <c:pt idx="0">
                  <c:v>california</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inEnd"/>
            <c:showVal val="1"/>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Sheet1!$A$2:$A$5</c:f>
              <c:numCache>
                <c:formatCode>General</c:formatCode>
                <c:ptCount val="4"/>
                <c:pt idx="0">
                  <c:v>2014</c:v>
                </c:pt>
              </c:numCache>
            </c:numRef>
          </c:cat>
          <c:val>
            <c:numRef>
              <c:f>Sheet1!$C$2:$C$5</c:f>
              <c:numCache>
                <c:formatCode>General</c:formatCode>
                <c:ptCount val="4"/>
                <c:pt idx="0" formatCode="0%">
                  <c:v>5.3000000000000035E-3</c:v>
                </c:pt>
              </c:numCache>
            </c:numRef>
          </c:val>
        </c:ser>
        <c:dLbls>
          <c:showVal val="1"/>
        </c:dLbls>
        <c:gapWidth val="100"/>
        <c:overlap val="-24"/>
        <c:axId val="75906432"/>
        <c:axId val="77210752"/>
      </c:barChart>
      <c:catAx>
        <c:axId val="75906432"/>
        <c:scaling>
          <c:orientation val="minMax"/>
        </c:scaling>
        <c:axPos val="b"/>
        <c:numFmt formatCode="General" sourceLinked="1"/>
        <c:majorTickMark val="none"/>
        <c:tickLblPos val="nextTo"/>
        <c:spPr>
          <a:noFill/>
          <a:ln w="9525">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77210752"/>
        <c:crosses val="autoZero"/>
        <c:auto val="1"/>
        <c:lblAlgn val="ctr"/>
        <c:lblOffset val="100"/>
      </c:catAx>
      <c:valAx>
        <c:axId val="77210752"/>
        <c:scaling>
          <c:orientation val="minMax"/>
        </c:scaling>
        <c:axPos val="l"/>
        <c:majorGridlines>
          <c:spPr>
            <a:ln w="9525">
              <a:solidFill>
                <a:schemeClr val="tx2">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75906432"/>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chart>
  <c:spPr>
    <a:solidFill>
      <a:schemeClr val="bg1"/>
    </a:solidFill>
    <a:ln w="9525">
      <a:solidFill>
        <a:schemeClr val="tx2">
          <a:lumMod val="15000"/>
          <a:lumOff val="85000"/>
        </a:schemeClr>
      </a:solidFill>
      <a:round/>
    </a:ln>
    <a:effectLst/>
  </c:spPr>
  <c:txPr>
    <a:bodyPr/>
    <a:lstStyle/>
    <a:p>
      <a:pPr>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Number</a:t>
            </a:r>
            <a:r>
              <a:rPr lang="en-US" baseline="0"/>
              <a:t> of residents in large state institutions </a:t>
            </a:r>
            <a:endParaRPr lang="en-US"/>
          </a:p>
        </c:rich>
      </c:tx>
      <c:spPr>
        <a:noFill/>
        <a:ln>
          <a:noFill/>
        </a:ln>
        <a:effectLst/>
      </c:spPr>
    </c:title>
    <c:plotArea>
      <c:layout>
        <c:manualLayout>
          <c:layoutTarget val="inner"/>
          <c:xMode val="edge"/>
          <c:yMode val="edge"/>
          <c:x val="0.10205818022747157"/>
          <c:y val="9.1626984126984223E-2"/>
          <c:w val="0.89794181977252863"/>
          <c:h val="0.66998656417947799"/>
        </c:manualLayout>
      </c:layout>
      <c:barChart>
        <c:barDir val="col"/>
        <c:grouping val="clustered"/>
        <c:ser>
          <c:idx val="0"/>
          <c:order val="0"/>
          <c:tx>
            <c:strRef>
              <c:f>Sheet1!$B$1</c:f>
              <c:strCache>
                <c:ptCount val="1"/>
                <c:pt idx="0">
                  <c:v>mississippi</c:v>
                </c:pt>
              </c:strCache>
            </c:strRef>
          </c:tx>
          <c:spPr>
            <a:solidFill>
              <a:schemeClr val="accent1"/>
            </a:solidFill>
            <a:ln>
              <a:noFill/>
            </a:ln>
            <a:effectLst/>
          </c:spPr>
          <c:cat>
            <c:numRef>
              <c:f>Sheet1!$A$2:$A$3</c:f>
              <c:numCache>
                <c:formatCode>General</c:formatCode>
                <c:ptCount val="2"/>
                <c:pt idx="0">
                  <c:v>2014</c:v>
                </c:pt>
              </c:numCache>
            </c:numRef>
          </c:cat>
          <c:val>
            <c:numRef>
              <c:f>Sheet1!$B$2:$B$3</c:f>
              <c:numCache>
                <c:formatCode>General</c:formatCode>
                <c:ptCount val="2"/>
                <c:pt idx="0">
                  <c:v>1139</c:v>
                </c:pt>
              </c:numCache>
            </c:numRef>
          </c:val>
        </c:ser>
        <c:ser>
          <c:idx val="1"/>
          <c:order val="1"/>
          <c:tx>
            <c:strRef>
              <c:f>Sheet1!$C$1</c:f>
              <c:strCache>
                <c:ptCount val="1"/>
                <c:pt idx="0">
                  <c:v>california</c:v>
                </c:pt>
              </c:strCache>
            </c:strRef>
          </c:tx>
          <c:spPr>
            <a:solidFill>
              <a:schemeClr val="accent2"/>
            </a:solidFill>
            <a:ln>
              <a:noFill/>
            </a:ln>
            <a:effectLst/>
          </c:spPr>
          <c:cat>
            <c:numRef>
              <c:f>Sheet1!$A$2:$A$3</c:f>
              <c:numCache>
                <c:formatCode>General</c:formatCode>
                <c:ptCount val="2"/>
                <c:pt idx="0">
                  <c:v>2014</c:v>
                </c:pt>
              </c:numCache>
            </c:numRef>
          </c:cat>
          <c:val>
            <c:numRef>
              <c:f>Sheet1!$C$2:$C$3</c:f>
              <c:numCache>
                <c:formatCode>General</c:formatCode>
                <c:ptCount val="2"/>
                <c:pt idx="0">
                  <c:v>1120</c:v>
                </c:pt>
              </c:numCache>
            </c:numRef>
          </c:val>
        </c:ser>
        <c:gapWidth val="219"/>
        <c:overlap val="-27"/>
        <c:axId val="122209792"/>
        <c:axId val="122211328"/>
      </c:barChart>
      <c:catAx>
        <c:axId val="122209792"/>
        <c:scaling>
          <c:orientation val="minMax"/>
        </c:scaling>
        <c:axPos val="b"/>
        <c:numFmt formatCode="General" sourceLinked="1"/>
        <c:maj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2211328"/>
        <c:crosses val="autoZero"/>
        <c:auto val="1"/>
        <c:lblAlgn val="ctr"/>
        <c:lblOffset val="100"/>
      </c:catAx>
      <c:valAx>
        <c:axId val="122211328"/>
        <c:scaling>
          <c:orientation val="minMax"/>
        </c:scaling>
        <c:axPos val="l"/>
        <c:majorGridlines>
          <c:spPr>
            <a:ln w="9525">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2209792"/>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a:solidFill>
        <a:schemeClr val="tx1">
          <a:lumMod val="15000"/>
          <a:lumOff val="85000"/>
        </a:schemeClr>
      </a:solidFill>
      <a:round/>
    </a:ln>
    <a:effectLst/>
  </c:spPr>
  <c:txPr>
    <a:bodyPr/>
    <a:lstStyle/>
    <a:p>
      <a:pPr>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1274</Words>
  <Characters>7262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mwaura</cp:lastModifiedBy>
  <cp:revision>2</cp:revision>
  <dcterms:created xsi:type="dcterms:W3CDTF">2018-09-26T23:11:00Z</dcterms:created>
  <dcterms:modified xsi:type="dcterms:W3CDTF">2018-09-26T23:11:00Z</dcterms:modified>
</cp:coreProperties>
</file>